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7A" w:rsidRDefault="00B07486">
      <w:pPr>
        <w:spacing w:after="3" w:line="259" w:lineRule="auto"/>
        <w:ind w:left="718" w:right="711" w:hanging="1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noProof/>
          <w:color w:val="000000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3446780</wp:posOffset>
            </wp:positionH>
            <wp:positionV relativeFrom="paragraph">
              <wp:posOffset>-316535</wp:posOffset>
            </wp:positionV>
            <wp:extent cx="657225" cy="819785"/>
            <wp:effectExtent l="0" t="0" r="9525" b="0"/>
            <wp:wrapNone/>
            <wp:docPr id="1" name="Рисунок 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87A" w:rsidRDefault="009B087A">
      <w:pPr>
        <w:spacing w:after="3" w:line="259" w:lineRule="auto"/>
        <w:ind w:left="718" w:right="711" w:hanging="1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60C11" w:rsidRDefault="00160C11">
      <w:pPr>
        <w:spacing w:after="3" w:line="259" w:lineRule="auto"/>
        <w:ind w:left="718" w:right="711" w:hanging="1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B087A" w:rsidRDefault="00B07486">
      <w:pPr>
        <w:spacing w:after="3" w:line="259" w:lineRule="auto"/>
        <w:ind w:left="718" w:right="711" w:hanging="1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СОВЕТ ДЕПУТАТОВ </w:t>
      </w:r>
    </w:p>
    <w:p w:rsidR="009B087A" w:rsidRDefault="00B07486">
      <w:pPr>
        <w:spacing w:after="3" w:line="259" w:lineRule="auto"/>
        <w:ind w:left="718" w:right="708" w:hanging="1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БУТУРЛИНСКОГО МУНИЦИПАЛЬНОГО ОКРУГА </w:t>
      </w:r>
    </w:p>
    <w:p w:rsidR="009B087A" w:rsidRDefault="00B07486">
      <w:pPr>
        <w:spacing w:after="3" w:line="259" w:lineRule="auto"/>
        <w:ind w:left="718" w:right="711" w:hanging="1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НИЖЕГОРОДСКОЙ ОБЛАСТИ </w:t>
      </w:r>
    </w:p>
    <w:p w:rsidR="009B087A" w:rsidRDefault="00B07486">
      <w:pPr>
        <w:spacing w:after="0" w:line="259" w:lineRule="auto"/>
        <w:ind w:left="7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087A" w:rsidRDefault="00160C11">
      <w:pPr>
        <w:spacing w:after="0" w:line="259" w:lineRule="auto"/>
        <w:ind w:right="7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Р Е Ш Е Н И Е  </w:t>
      </w:r>
    </w:p>
    <w:p w:rsidR="009B087A" w:rsidRDefault="00B07486">
      <w:pPr>
        <w:spacing w:after="30" w:line="259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:rsidR="009B087A" w:rsidRDefault="00B07486">
      <w:pPr>
        <w:tabs>
          <w:tab w:val="right" w:pos="9360"/>
        </w:tabs>
        <w:spacing w:after="1" w:line="247" w:lineRule="auto"/>
        <w:ind w:left="-15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160C11">
        <w:rPr>
          <w:rFonts w:eastAsia="Times New Roman" w:cs="Times New Roman"/>
          <w:color w:val="000000"/>
          <w:szCs w:val="28"/>
          <w:lang w:eastAsia="ru-RU"/>
        </w:rPr>
        <w:t>31 октября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2023 г.</w:t>
      </w:r>
      <w:r>
        <w:rPr>
          <w:rFonts w:eastAsia="Times New Roman" w:cs="Times New Roman"/>
          <w:b/>
          <w:color w:val="000000"/>
          <w:szCs w:val="28"/>
          <w:lang w:eastAsia="ru-RU"/>
        </w:rPr>
        <w:tab/>
      </w:r>
      <w:r w:rsidR="00160C11">
        <w:rPr>
          <w:rFonts w:eastAsia="Times New Roman" w:cs="Times New Roman"/>
          <w:color w:val="000000"/>
          <w:szCs w:val="28"/>
          <w:lang w:eastAsia="ru-RU"/>
        </w:rPr>
        <w:t>№ 67</w:t>
      </w:r>
    </w:p>
    <w:p w:rsidR="009B087A" w:rsidRDefault="00B07486">
      <w:pPr>
        <w:pStyle w:val="1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87A" w:rsidRDefault="00B07486">
      <w:pPr>
        <w:spacing w:after="0"/>
        <w:ind w:right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Об утверждении Положения о порядке материально-технического  </w:t>
      </w:r>
    </w:p>
    <w:p w:rsidR="009B087A" w:rsidRDefault="00B07486">
      <w:pPr>
        <w:spacing w:after="0"/>
        <w:ind w:right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и организационного обеспечения деятельности органов местного самоуправления Бутурлинского муниципального округа </w:t>
      </w:r>
    </w:p>
    <w:p w:rsidR="009B087A" w:rsidRDefault="00B07486">
      <w:pPr>
        <w:spacing w:after="0"/>
        <w:ind w:right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Нижегородской области</w:t>
      </w:r>
    </w:p>
    <w:p w:rsidR="009B087A" w:rsidRDefault="009B087A">
      <w:pPr>
        <w:spacing w:after="0"/>
        <w:ind w:right="142"/>
        <w:rPr>
          <w:rFonts w:cs="Times New Roman"/>
          <w:szCs w:val="28"/>
        </w:rPr>
      </w:pPr>
    </w:p>
    <w:p w:rsidR="009B087A" w:rsidRDefault="00B07486">
      <w:pPr>
        <w:spacing w:after="0"/>
        <w:ind w:righ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 пунктом 8 части 10 статьи 35 Федерального </w:t>
      </w:r>
      <w:hyperlink r:id="rId5">
        <w:r>
          <w:rPr>
            <w:rFonts w:cs="Times New Roman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от 6 октября 2003 г</w:t>
      </w:r>
      <w:r w:rsidR="003A460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6">
        <w:r>
          <w:rPr>
            <w:rFonts w:cs="Times New Roman"/>
            <w:szCs w:val="28"/>
          </w:rPr>
          <w:t xml:space="preserve">пунктом 8 части </w:t>
        </w:r>
        <w:r w:rsidR="003A4606">
          <w:rPr>
            <w:rFonts w:cs="Times New Roman"/>
            <w:szCs w:val="28"/>
          </w:rPr>
          <w:t>7</w:t>
        </w:r>
        <w:r>
          <w:rPr>
            <w:rFonts w:cs="Times New Roman"/>
            <w:szCs w:val="28"/>
          </w:rPr>
          <w:t xml:space="preserve"> статьи </w:t>
        </w:r>
      </w:hyperlink>
      <w:r>
        <w:rPr>
          <w:rFonts w:cs="Times New Roman"/>
          <w:szCs w:val="28"/>
        </w:rPr>
        <w:t>21 Устава Бутурлинского муниципального округа Нижегородской области, принятого решением Совета депутатов Бутурлинского муниципального округа Нижегородско</w:t>
      </w:r>
      <w:r w:rsidR="003A4606">
        <w:rPr>
          <w:rFonts w:cs="Times New Roman"/>
          <w:szCs w:val="28"/>
        </w:rPr>
        <w:t>й области от 12 апреля 2021 г.</w:t>
      </w:r>
      <w:r>
        <w:rPr>
          <w:rFonts w:cs="Times New Roman"/>
          <w:szCs w:val="28"/>
        </w:rPr>
        <w:t xml:space="preserve"> № 25 «О принятии Устава Бутурлинского муниципального округа Нижегородской области», Совет депутатов Бутурлинского муниципального округа Нижегородской области </w:t>
      </w:r>
    </w:p>
    <w:p w:rsidR="009B087A" w:rsidRDefault="00B07486">
      <w:pPr>
        <w:spacing w:after="0"/>
        <w:ind w:right="142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</w:rPr>
        <w:t>р</w:t>
      </w:r>
      <w:r>
        <w:rPr>
          <w:rFonts w:cs="Times New Roman"/>
          <w:b/>
          <w:bCs/>
          <w:szCs w:val="28"/>
        </w:rPr>
        <w:t xml:space="preserve"> е ш и л:</w:t>
      </w:r>
    </w:p>
    <w:p w:rsidR="009B087A" w:rsidRDefault="00B07486">
      <w:pPr>
        <w:spacing w:after="0"/>
        <w:ind w:righ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прилагаемое </w:t>
      </w:r>
      <w:hyperlink w:anchor="Par28">
        <w:r>
          <w:rPr>
            <w:rFonts w:cs="Times New Roman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порядке материально-технического и организационного обеспечения деятельности органов местного самоуправления Бутурлинского муниципального округа Нижегородской области.</w:t>
      </w:r>
    </w:p>
    <w:p w:rsidR="009B087A" w:rsidRDefault="00B07486">
      <w:pPr>
        <w:spacing w:after="0" w:line="276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2.</w:t>
      </w:r>
      <w:r>
        <w:rPr>
          <w:szCs w:val="28"/>
        </w:rPr>
        <w:t xml:space="preserve"> Опубликовать (обнародовать) настоящее решение в порядке, определенном </w:t>
      </w:r>
      <w:proofErr w:type="gramStart"/>
      <w:r>
        <w:rPr>
          <w:szCs w:val="28"/>
        </w:rPr>
        <w:t>уставом  Бутурлинского</w:t>
      </w:r>
      <w:proofErr w:type="gramEnd"/>
      <w:r>
        <w:rPr>
          <w:szCs w:val="28"/>
        </w:rPr>
        <w:t xml:space="preserve">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информационно-коммуникативной сети «Интернет» по адресу: https://buturlino.nobl.ru /.</w:t>
      </w:r>
    </w:p>
    <w:p w:rsidR="009B087A" w:rsidRDefault="00B0748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Настоящее решение вступает в силу со дня </w:t>
      </w:r>
      <w:r w:rsidR="003A4606">
        <w:rPr>
          <w:rFonts w:ascii="Times New Roman" w:hAnsi="Times New Roman" w:cs="Times New Roman"/>
          <w:b w:val="0"/>
          <w:sz w:val="28"/>
          <w:szCs w:val="28"/>
        </w:rPr>
        <w:t>опубликования (обнародования)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B087A" w:rsidRDefault="00B0748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Контроль за исполнением настоящего решения возложить на комиссию по </w:t>
      </w:r>
      <w:r w:rsidR="003A4606">
        <w:rPr>
          <w:rFonts w:ascii="Times New Roman" w:hAnsi="Times New Roman" w:cs="Times New Roman"/>
          <w:b w:val="0"/>
          <w:sz w:val="28"/>
          <w:szCs w:val="28"/>
        </w:rPr>
        <w:t>бюджетной, финансовой и налоговой политике (</w:t>
      </w:r>
      <w:proofErr w:type="spellStart"/>
      <w:r w:rsidR="003A4606">
        <w:rPr>
          <w:rFonts w:ascii="Times New Roman" w:hAnsi="Times New Roman" w:cs="Times New Roman"/>
          <w:b w:val="0"/>
          <w:sz w:val="28"/>
          <w:szCs w:val="28"/>
        </w:rPr>
        <w:t>Голубин</w:t>
      </w:r>
      <w:proofErr w:type="spellEnd"/>
      <w:r w:rsidR="003A4606">
        <w:rPr>
          <w:rFonts w:ascii="Times New Roman" w:hAnsi="Times New Roman" w:cs="Times New Roman"/>
          <w:b w:val="0"/>
          <w:sz w:val="28"/>
          <w:szCs w:val="28"/>
        </w:rPr>
        <w:t xml:space="preserve"> М.В</w:t>
      </w:r>
      <w:r>
        <w:rPr>
          <w:rFonts w:ascii="Times New Roman" w:hAnsi="Times New Roman" w:cs="Times New Roman"/>
          <w:b w:val="0"/>
          <w:sz w:val="28"/>
          <w:szCs w:val="28"/>
        </w:rPr>
        <w:t>.).</w:t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766"/>
        <w:gridCol w:w="4871"/>
      </w:tblGrid>
      <w:tr w:rsidR="009B087A">
        <w:tc>
          <w:tcPr>
            <w:tcW w:w="4766" w:type="dxa"/>
            <w:shd w:val="clear" w:color="auto" w:fill="auto"/>
          </w:tcPr>
          <w:p w:rsidR="009B087A" w:rsidRDefault="009B087A">
            <w:pPr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</w:p>
          <w:p w:rsidR="009B087A" w:rsidRDefault="00B07486">
            <w:pPr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9B087A" w:rsidRDefault="00B07486">
            <w:pPr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</w:t>
            </w:r>
            <w:proofErr w:type="spellStart"/>
            <w:r>
              <w:rPr>
                <w:rFonts w:cs="Times New Roman"/>
                <w:szCs w:val="28"/>
              </w:rPr>
              <w:t>Е.Е.Егорушин</w:t>
            </w:r>
            <w:proofErr w:type="spellEnd"/>
          </w:p>
        </w:tc>
        <w:tc>
          <w:tcPr>
            <w:tcW w:w="4870" w:type="dxa"/>
            <w:shd w:val="clear" w:color="auto" w:fill="auto"/>
          </w:tcPr>
          <w:p w:rsidR="009B087A" w:rsidRDefault="009B087A">
            <w:pPr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</w:p>
          <w:p w:rsidR="009B087A" w:rsidRDefault="00B07486">
            <w:pPr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Глава местного самоуправления</w:t>
            </w:r>
          </w:p>
          <w:p w:rsidR="009B087A" w:rsidRDefault="00B07486">
            <w:pPr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Бутурлинского муниципального </w:t>
            </w:r>
          </w:p>
          <w:p w:rsidR="009B087A" w:rsidRDefault="00B07486">
            <w:pPr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округа Нижегородской области</w:t>
            </w:r>
          </w:p>
          <w:p w:rsidR="009B087A" w:rsidRDefault="00B07486">
            <w:pPr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</w:t>
            </w:r>
            <w:proofErr w:type="spellStart"/>
            <w:r>
              <w:rPr>
                <w:rFonts w:cs="Times New Roman"/>
                <w:szCs w:val="28"/>
              </w:rPr>
              <w:t>Н.А.Чичков</w:t>
            </w:r>
            <w:proofErr w:type="spellEnd"/>
          </w:p>
          <w:p w:rsidR="009B087A" w:rsidRDefault="009B087A">
            <w:pPr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087A" w:rsidRDefault="00B07486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9B087A" w:rsidRDefault="00B07486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решению Совета депутатов</w:t>
      </w:r>
    </w:p>
    <w:p w:rsidR="009B087A" w:rsidRDefault="00B07486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Бутурлинского муниципального</w:t>
      </w:r>
    </w:p>
    <w:p w:rsidR="009B087A" w:rsidRDefault="00B07486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округа Нижегородской области</w:t>
      </w:r>
    </w:p>
    <w:p w:rsidR="009B087A" w:rsidRDefault="00160C11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31.10.</w:t>
      </w:r>
      <w:bookmarkStart w:id="0" w:name="_GoBack"/>
      <w:bookmarkEnd w:id="0"/>
      <w:r>
        <w:rPr>
          <w:rFonts w:cs="Times New Roman"/>
          <w:szCs w:val="28"/>
        </w:rPr>
        <w:t>2023 г.</w:t>
      </w:r>
      <w:r w:rsidR="00B07486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67</w:t>
      </w:r>
    </w:p>
    <w:p w:rsidR="009B087A" w:rsidRDefault="00B07486">
      <w:pPr>
        <w:spacing w:after="0"/>
        <w:jc w:val="center"/>
        <w:rPr>
          <w:rFonts w:cs="Times New Roman"/>
          <w:b/>
          <w:bCs/>
          <w:szCs w:val="28"/>
        </w:rPr>
      </w:pPr>
      <w:bookmarkStart w:id="1" w:name="Par28"/>
      <w:bookmarkEnd w:id="1"/>
      <w:r>
        <w:rPr>
          <w:rFonts w:cs="Times New Roman"/>
          <w:b/>
          <w:bCs/>
          <w:szCs w:val="28"/>
        </w:rPr>
        <w:t>Положение</w:t>
      </w:r>
    </w:p>
    <w:p w:rsidR="002D0B5B" w:rsidRDefault="00B07486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 </w:t>
      </w:r>
      <w:proofErr w:type="gramStart"/>
      <w:r>
        <w:rPr>
          <w:rFonts w:cs="Times New Roman"/>
          <w:b/>
          <w:bCs/>
          <w:szCs w:val="28"/>
        </w:rPr>
        <w:t>порядке  материально</w:t>
      </w:r>
      <w:proofErr w:type="gramEnd"/>
      <w:r>
        <w:rPr>
          <w:rFonts w:cs="Times New Roman"/>
          <w:b/>
          <w:bCs/>
          <w:szCs w:val="28"/>
        </w:rPr>
        <w:t xml:space="preserve">-технического  и организационного </w:t>
      </w:r>
    </w:p>
    <w:p w:rsidR="009B087A" w:rsidRDefault="00B07486">
      <w:pPr>
        <w:spacing w:after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b/>
          <w:bCs/>
          <w:szCs w:val="28"/>
        </w:rPr>
        <w:t>обеспечения  деятельности</w:t>
      </w:r>
      <w:proofErr w:type="gramEnd"/>
      <w:r>
        <w:rPr>
          <w:rFonts w:cs="Times New Roman"/>
          <w:b/>
          <w:bCs/>
          <w:szCs w:val="28"/>
        </w:rPr>
        <w:t xml:space="preserve"> органов местного самоуправления Бутурлинского муниципального округа Нижегородской области 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Настоящее Положение разработано в соответствии со </w:t>
      </w:r>
      <w:hyperlink r:id="rId7">
        <w:r>
          <w:rPr>
            <w:rFonts w:cs="Times New Roman"/>
            <w:szCs w:val="28"/>
          </w:rPr>
          <w:t>статьей 35</w:t>
        </w:r>
      </w:hyperlink>
      <w:r>
        <w:rPr>
          <w:rFonts w:cs="Times New Roman"/>
          <w:szCs w:val="28"/>
        </w:rPr>
        <w:t xml:space="preserve"> Федерального закона от 6 октября 2003 г</w:t>
      </w:r>
      <w:r w:rsidR="003A460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8">
        <w:r>
          <w:rPr>
            <w:rFonts w:cs="Times New Roman"/>
            <w:szCs w:val="28"/>
          </w:rPr>
          <w:t xml:space="preserve">пунктом 8 части </w:t>
        </w:r>
        <w:r w:rsidR="003A4606">
          <w:rPr>
            <w:rFonts w:cs="Times New Roman"/>
            <w:szCs w:val="28"/>
          </w:rPr>
          <w:t>7</w:t>
        </w:r>
        <w:r>
          <w:rPr>
            <w:rFonts w:cs="Times New Roman"/>
            <w:szCs w:val="28"/>
          </w:rPr>
          <w:t xml:space="preserve"> статьи </w:t>
        </w:r>
      </w:hyperlink>
      <w:r>
        <w:rPr>
          <w:rFonts w:cs="Times New Roman"/>
          <w:szCs w:val="28"/>
        </w:rPr>
        <w:t>21 Устава Бутурлинского муниципального округа Нижегородской области, принятого решением Совета депутатов Бутурлинского муниципального округа Нижегородской области от 12 апреля 2021 г. № 25 «О принятии Устава Бутурлинского муниципального округа Нижегородской области» и определяет порядок материально-технического и организационного обеспечения деятельности органов местного самоуправления Бутурлинского муниципального округа Нижегородской области (далее – органы местного самоуправления округа).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Статья 1. Общие положения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Материально-техническое и организационное обеспечение деятельности органов местного самоуправления округа </w:t>
      </w:r>
      <w:r w:rsidR="00DD1FEB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осуществляемый</w:t>
      </w:r>
      <w:r w:rsidR="00DD1F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 постоянной основе комплекс мероприятий, направленный на создание необходимых условий для осуществления полномочий органов местного самоуправления округа в целях решения ими вопросов местного значения, а также осуществления отдельных государственных полномочий, переданных федеральными и областными законами.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Материально-техническое обеспечение деятельности органов местного самоуправления округа </w:t>
      </w:r>
      <w:r w:rsidR="00DD1FEB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комплекс</w:t>
      </w:r>
      <w:r w:rsidR="00DD1F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работ и услуг по обеспечению органов местного самоуправления округа, лиц, замещающих муниципальные должности, муниципальных служащих и других работников органов местного самоуправления округа необходимыми услугами оборудованием, оргтехникой, транспортом, зданиями, сооружениями, помещениями и другими видами материально-технических средств в целях их стабильного функционирования, исполнения ими полномочий и должностных обязанностей.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Организационное обеспечение деятельности органов местного самоуправления округа </w:t>
      </w:r>
      <w:r w:rsidR="00DD1FEB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организационные</w:t>
      </w:r>
      <w:r w:rsidR="00DD1F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действия по подготовке и проведению мероприятий, отнесенных к полномочиям органов местного самоуправления округа, лиц, замещающих муниципальные должности, муниципальных служащих и других работников органов местного самоуправления округа, а также создание организационных, информационных и </w:t>
      </w:r>
      <w:r>
        <w:rPr>
          <w:rFonts w:cs="Times New Roman"/>
          <w:szCs w:val="28"/>
        </w:rPr>
        <w:lastRenderedPageBreak/>
        <w:t>иных условий в целях их стабильного функционирования, исполнения ими полномочий и должностных обязанностей.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b/>
          <w:bCs/>
          <w:szCs w:val="28"/>
        </w:rPr>
      </w:pPr>
      <w:bookmarkStart w:id="2" w:name="Par46"/>
      <w:bookmarkEnd w:id="2"/>
      <w:r>
        <w:rPr>
          <w:rFonts w:cs="Times New Roman"/>
          <w:b/>
          <w:bCs/>
          <w:szCs w:val="28"/>
        </w:rPr>
        <w:t>Статья 2. Материально-техническое и организационное обеспечение деятельности органов местного самоуправления округа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Материально-техническое и организационное обеспечение включает в себя: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хозяйственное содержание административных зданий и иных имущественных объектов, занимаемых органами местного самоуправления, служебных и иных помещений в состоянии, соответствующем противопожарным, санитарным, экологическим и иным установленным законодательством требованиям охраны труда, в том числе обеспечение электроэнергией, коммунальными услугами, услугами связи (телефонной, телеграфной, почтовой, пейджинговой, сотовой, Интернет), техническое обслуживание, проведение всех видов ремонта имущества (капитальный, текущий ремонт зданий, сооружений, помещений, инвентаря, оборудования и т.д.), охрана помещений (установка, наладка и эксплуатация охранной и пожарной сигнализации, приборов видеонаблюдения);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организация и содержание рабочих мест, в том числе оборудование мебелью, обеспечение канцелярскими принадлежностями, средствами связи;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транспортное обслуживание органов местного самоуправления округа в служебных целях в соответствии с нормами списания горюче-смазочных материалов на служебный автотранспорт и лимитами расхода горюче-смазочных материалов, утверждаемыми руководителями органов местного самоуправления округа;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обеспечение компьютерной и другой оргтехникой, ее техническое обслуживание и замена с учетом морального износа и технического состояния, оснащение техники лицензионным и специальным программным обеспечением, комплектующими, расходными материалами, техническая поддержка и сопровождение программного обеспечения, информационное сопровождение нормативно-правовых баз данных, обновление </w:t>
      </w:r>
      <w:proofErr w:type="gramStart"/>
      <w:r>
        <w:rPr>
          <w:rFonts w:cs="Times New Roman"/>
          <w:szCs w:val="28"/>
        </w:rPr>
        <w:t>справочно-информационных баз</w:t>
      </w:r>
      <w:proofErr w:type="gramEnd"/>
      <w:r>
        <w:rPr>
          <w:rFonts w:cs="Times New Roman"/>
          <w:szCs w:val="28"/>
        </w:rPr>
        <w:t xml:space="preserve"> данных с учетом потребности;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 изготовление печатей, штампов, удостоверений, брошюр, бланочной продукции и т.п.;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 кадровое обеспечение с учетом квалификационных требований, в том числе наличия соответствующего профессионального образования;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 организация и ведение бюджетного учета;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8) организация делопроизводства, в том числе обеспечение режима сохранения охраняемой законом тайны (государственной, служебной, коммерческой и т.п.), лингвистическая обработка принимаемых правовых актов, множительно-копировальные работы, организация хранения документов и подготовки документов к сдаче в архив;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9) проведение подписки на периодические издания;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планирование работы органов местного самоуправления округа, обеспечение деятельности коллегиальных и совещательных органов при органах </w:t>
      </w:r>
      <w:r>
        <w:rPr>
          <w:rFonts w:cs="Times New Roman"/>
          <w:szCs w:val="28"/>
        </w:rPr>
        <w:lastRenderedPageBreak/>
        <w:t>местного самоуправления округа, организация личного приема граждан должностными лицами органов местного самоуправления округа;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11) обеспечение информирования населения о деятельности органов местного самоуправления округа, в том числе оплата услуг, связанных с публикацией и размещением официальной информации, сюжетов, репортажей о деятельности органов местного самоуправления округа в средствах массовой информации, подготовка информационных, справочных, методических материалов;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12) обеспечение взаимодействия органов местного самоуправления между собой, взаимодействия органов местного самоуправления с федеральными органами государственной власти, органами государственной власти Нижегородской области, органами местного самоуправления иных муниципальных образований;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13) организация депутатских и публичных слушаний, собраний и конференций, опросов граждан;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14) проведение официальных городских мероприятий, прием и обслуживание делегаций и отдельных лиц, организация и проведение официальных приемов главы местного самоуправления Бутурлинского муниципального округа, переговоров, совещаний, круглых столов, симпозиумов, конференций и иных официальных  мероприятий, а также информационное сопровождение официальных мероприятий, приобретение цветов, венков, сувенирной продукции и памятных подарков, изготовление нагрудных знаков, значков, официальных наград органов местного самоуправления округа в целях награждения и поздравления трудовых коллективов предприятий, организаций и учреждений округа, руководителей территориальных органов государственной власти, органов государственной власти Нижегородской области, органов местного самоуправления округа и Нижегородской области, руководителей организаций, предприятий и выдающихся людей округа и Нижегородской области, а также работников органов местного самоуправления округа в связи с профессиональными праздниками, знаменательными датами и ритуальными мероприятиями;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15) иные мероприятия, направленные на обеспечение функционирования органов местного самоуправления округа.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Обеспечение возмещения расходов, связанных со служебными командировками лиц, замещающих муниципальные должности, муниципальных служащих и других работников органов местного самоуправления округа, осуществляется на основании действующего законодательства, а также в соответствии с порядком, устанавливаемым руководителями органов местного самоуправления округа.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Статья 3. Планирование и финансирование расходов на материально-техническое и организационное обеспечение органов местного самоуправления округа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Планирование расходов на материально-техническое и организационное обеспечение органов местного самоуправления округа, указанных в </w:t>
      </w:r>
      <w:hyperlink w:anchor="Par46">
        <w:r>
          <w:rPr>
            <w:rFonts w:cs="Times New Roman"/>
            <w:szCs w:val="28"/>
          </w:rPr>
          <w:t>статье 2</w:t>
        </w:r>
      </w:hyperlink>
      <w:r>
        <w:rPr>
          <w:rFonts w:cs="Times New Roman"/>
          <w:szCs w:val="28"/>
        </w:rPr>
        <w:t xml:space="preserve"> настоящего Положения, осуществляется в соответствии с Бюджетным </w:t>
      </w:r>
      <w:hyperlink r:id="rId9">
        <w:r>
          <w:rPr>
            <w:rFonts w:cs="Times New Roman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lastRenderedPageBreak/>
        <w:t>Российской Федерации, федеральным законодательством и законодательством Нижегородской области, правовыми актами органов местного самоуправления округа.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Финансирование расходов на материально-техническое и организационное обеспечение органов местного самоуправления округа осуществляется за счет средств бюджета Бутурлинского муниципального округа в соответствии с утвержденными руководителями органов местного самоуправления округа бюджетными сметами на содержание органов местного самоуправления округа и муниципальными программами. В случаях, предусмотренных правовыми актами органов местного самоуправления округа, отдельные виды материально-технического и организационного обеспечения деятельности органов местного самоуправления округа осуществляет муниципальное учреждение в соответствии с утвержденной бюджетной сметой.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Минимальная количественная потребность на материально-техническое и организационное обеспечение органов местного самоуправления округа определяется с использованием статистических данных за истекшие периоды с учетом поправочных коэффициентов, связанных с изменением условий, численности персонала и поставленными задачами, по имеющимся нормативам или на основе утвержденных лимитов потребления. Расчеты минимальной потребности являются обоснованием для формирования бюджетных смет на материально-техническое и организационное обеспечение деятельности органов местного самоуправления округа.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Расходы на организацию и проведение официальных мероприятий планируются в соответствии с требованиями Бюджетного кодекса Российской Федерации в расходной части бюджета округа на основании утвержденных руководителями органов местного самоуправления округа календарей проведения официальных мероприятий. Порядок расходования средств на организацию и проведение официальных мероприятий определяется руководителями органов местного самоуправления округа в соответствии с действующим законодательством.</w:t>
      </w:r>
    </w:p>
    <w:p w:rsidR="003A4606" w:rsidRDefault="003A4606" w:rsidP="003A4606">
      <w:pPr>
        <w:spacing w:after="0"/>
        <w:ind w:firstLine="540"/>
        <w:jc w:val="both"/>
        <w:rPr>
          <w:rFonts w:cs="Times New Roman"/>
          <w:b/>
          <w:bCs/>
          <w:szCs w:val="28"/>
        </w:rPr>
      </w:pPr>
    </w:p>
    <w:p w:rsidR="003A4606" w:rsidRDefault="003A4606" w:rsidP="003A4606">
      <w:pPr>
        <w:spacing w:after="0"/>
        <w:ind w:firstLine="54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Статья 4. Особенности материально-технического и организационного обеспечения деятельности главы местного самоуправления Бутурлинского муниципального округа Нижегородской области и администрации округа </w:t>
      </w:r>
    </w:p>
    <w:p w:rsidR="003A4606" w:rsidRDefault="003A4606" w:rsidP="003A4606">
      <w:pPr>
        <w:spacing w:after="0"/>
        <w:ind w:firstLine="540"/>
        <w:jc w:val="both"/>
        <w:rPr>
          <w:rFonts w:cs="Times New Roman"/>
          <w:szCs w:val="28"/>
        </w:rPr>
      </w:pPr>
    </w:p>
    <w:p w:rsidR="003A4606" w:rsidRDefault="003A4606" w:rsidP="003A460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Материально-техническое, организационное, информационное, правовое и хозяйственное обеспечение деятельности главы местного самоуправления Бутурлинского муниципального округа Нижегородской области и администрации округа осуществляется в соответствии с </w:t>
      </w:r>
      <w:hyperlink r:id="rId10">
        <w:r>
          <w:rPr>
            <w:rFonts w:cs="Times New Roman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округа, Положением об администрации Бутурлинского муниципального округа и другими муниципальными правовыми актами органов местного самоуправления округа.</w:t>
      </w:r>
    </w:p>
    <w:p w:rsidR="003A4606" w:rsidRDefault="003A4606">
      <w:pPr>
        <w:spacing w:after="0"/>
        <w:ind w:firstLine="540"/>
        <w:jc w:val="both"/>
        <w:rPr>
          <w:rFonts w:cs="Times New Roman"/>
          <w:b/>
          <w:bCs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Статья </w:t>
      </w:r>
      <w:r w:rsidR="003A4606">
        <w:rPr>
          <w:rFonts w:cs="Times New Roman"/>
          <w:b/>
          <w:bCs/>
          <w:szCs w:val="28"/>
        </w:rPr>
        <w:t>5</w:t>
      </w:r>
      <w:r>
        <w:rPr>
          <w:rFonts w:cs="Times New Roman"/>
          <w:b/>
          <w:bCs/>
          <w:szCs w:val="28"/>
        </w:rPr>
        <w:t>. Особенности материально-технического и организационного обеспечения деятельности Совета депутатов Бутурлинского муниципального округа Нижегородской области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1. Материально-техническое и организационное обеспечение деятельности Совета депутатов Бутурлинского муниципального округа Нижегородской области (далее </w:t>
      </w:r>
      <w:r w:rsidR="00253107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>Совет</w:t>
      </w:r>
      <w:r w:rsidR="002531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депутатов округа) осуществляется в соответствии с </w:t>
      </w:r>
      <w:hyperlink r:id="rId11">
        <w:r>
          <w:rPr>
            <w:rFonts w:cs="Times New Roman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Бутурлинского муниципального округа Нижегородской области, Положением о Совете депутатов Бутурлинского муниципального округа Нижегородской области и другими муниципальными правовыми актами органов местного самоуправления округа.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4E43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Совет депутатов самостоятельно осуществляет организационное, информационное, правовое, хозяйственное, материально-техническое обеспечение в соответствии с компетенцией, определенной Уставом округа, приобретает для собственных нужд товары, работы и услуги на основании договоров, заключаемых в установленном порядке.</w:t>
      </w:r>
    </w:p>
    <w:p w:rsidR="009B087A" w:rsidRDefault="00B07486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4E43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Делопроизводство и документационное обеспечение, правовое обеспечение, информационное обеспечение, архивное обеспечение в Совете депутатов муниципального округа осуществляет начальник сектора по кадровой и правовой работе Совета депутатов.</w:t>
      </w:r>
    </w:p>
    <w:p w:rsidR="009B087A" w:rsidRDefault="00B07486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Ведение бухгалтерского учета и отчетности Совета депутатов округа как юридического лица осуществляется главным бухгалтером Совета депутатов Бутурлинского муниципального округа Нижегородской области.</w:t>
      </w:r>
    </w:p>
    <w:p w:rsidR="009B087A" w:rsidRDefault="00DD1FEB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07486">
        <w:rPr>
          <w:rFonts w:cs="Times New Roman"/>
          <w:szCs w:val="28"/>
        </w:rPr>
        <w:t>. Администрация Бутурлинского муниципального округа (далее – администрация округа) на безвозмездной основе по письменному обращению депутатов Совета депутатов</w:t>
      </w:r>
      <w:r>
        <w:rPr>
          <w:rFonts w:cs="Times New Roman"/>
          <w:szCs w:val="28"/>
        </w:rPr>
        <w:t xml:space="preserve"> округа</w:t>
      </w:r>
      <w:r w:rsidR="00B07486">
        <w:rPr>
          <w:rFonts w:cs="Times New Roman"/>
          <w:szCs w:val="28"/>
        </w:rPr>
        <w:t xml:space="preserve"> предоставляет им помещения в зданиях, находящихся в муниципальной собственности, для размещения приемных для обращения граждан на территории избирательного округа, по которому они избирались, а также услуги телефонной связи в указанных помещениях.</w:t>
      </w:r>
    </w:p>
    <w:p w:rsidR="009B087A" w:rsidRPr="005104A2" w:rsidRDefault="00B07486">
      <w:pPr>
        <w:spacing w:after="0"/>
        <w:ind w:firstLine="540"/>
        <w:jc w:val="both"/>
        <w:rPr>
          <w:rFonts w:cs="Times New Roman"/>
          <w:szCs w:val="28"/>
        </w:rPr>
      </w:pPr>
      <w:r w:rsidRPr="005104A2">
        <w:rPr>
          <w:rFonts w:cs="Times New Roman"/>
          <w:szCs w:val="28"/>
        </w:rPr>
        <w:t>Депутат вправе в отдельных случаях организовать работу приемной для организации работы с избирателями на территории другого избирательного округа. В этом случае администрация округа по письменному обращению депутата Совета депутатов</w:t>
      </w:r>
      <w:r w:rsidR="00DD1FEB" w:rsidRPr="005104A2">
        <w:rPr>
          <w:rFonts w:cs="Times New Roman"/>
          <w:szCs w:val="28"/>
        </w:rPr>
        <w:t xml:space="preserve"> округа</w:t>
      </w:r>
      <w:r w:rsidRPr="005104A2">
        <w:rPr>
          <w:rFonts w:cs="Times New Roman"/>
          <w:szCs w:val="28"/>
        </w:rPr>
        <w:t xml:space="preserve"> предоставляет депутату необходимое помещение на территории другого избирательного округа.</w:t>
      </w:r>
    </w:p>
    <w:p w:rsidR="004E43F6" w:rsidRPr="005104A2" w:rsidRDefault="004E43F6" w:rsidP="004E43F6">
      <w:pPr>
        <w:spacing w:after="0"/>
        <w:ind w:firstLine="540"/>
        <w:jc w:val="both"/>
        <w:rPr>
          <w:rFonts w:cs="Times New Roman"/>
          <w:szCs w:val="28"/>
        </w:rPr>
      </w:pPr>
      <w:r w:rsidRPr="005104A2">
        <w:rPr>
          <w:rFonts w:cs="Times New Roman"/>
          <w:szCs w:val="28"/>
        </w:rPr>
        <w:t xml:space="preserve">4. Администрация округа обеспечивает </w:t>
      </w:r>
      <w:r w:rsidR="00DD1FEB" w:rsidRPr="005104A2">
        <w:rPr>
          <w:rFonts w:cs="Times New Roman"/>
          <w:szCs w:val="28"/>
        </w:rPr>
        <w:t>Совет депутатов округа</w:t>
      </w:r>
      <w:r w:rsidRPr="005104A2">
        <w:rPr>
          <w:rFonts w:cs="Times New Roman"/>
          <w:szCs w:val="28"/>
        </w:rPr>
        <w:t>:</w:t>
      </w:r>
    </w:p>
    <w:p w:rsidR="004E43F6" w:rsidRPr="005104A2" w:rsidRDefault="004E43F6" w:rsidP="004E43F6">
      <w:pPr>
        <w:spacing w:after="0"/>
        <w:ind w:firstLine="540"/>
        <w:jc w:val="both"/>
        <w:rPr>
          <w:rFonts w:cs="Times New Roman"/>
          <w:szCs w:val="28"/>
        </w:rPr>
      </w:pPr>
      <w:r w:rsidRPr="005104A2">
        <w:rPr>
          <w:rFonts w:cs="Times New Roman"/>
          <w:szCs w:val="28"/>
        </w:rPr>
        <w:t>- услугами связи (телефонная стационарная связь) и доступом к информационным сетям и ресурсам (Интернет, «Консультант»);</w:t>
      </w:r>
    </w:p>
    <w:p w:rsidR="004E43F6" w:rsidRPr="005104A2" w:rsidRDefault="004E43F6" w:rsidP="004E43F6">
      <w:pPr>
        <w:spacing w:after="0"/>
        <w:ind w:firstLine="540"/>
        <w:jc w:val="both"/>
        <w:rPr>
          <w:rFonts w:cs="Times New Roman"/>
          <w:szCs w:val="28"/>
        </w:rPr>
      </w:pPr>
      <w:r w:rsidRPr="005104A2">
        <w:rPr>
          <w:rFonts w:cs="Times New Roman"/>
          <w:szCs w:val="28"/>
        </w:rPr>
        <w:t>- транспортными средствами в служебных целях, в соответствии с нормами списания горюче-смазочных материалов на служебный автотранспорт и лимитами расхода горюче-смазочных материалов, утверждаемыми руководителями органов местного самоуправления округа</w:t>
      </w:r>
      <w:r w:rsidR="005104A2" w:rsidRPr="005104A2">
        <w:rPr>
          <w:rFonts w:cs="Times New Roman"/>
          <w:szCs w:val="28"/>
        </w:rPr>
        <w:t>.</w:t>
      </w:r>
    </w:p>
    <w:p w:rsidR="009B087A" w:rsidRPr="005104A2" w:rsidRDefault="004E43F6">
      <w:pPr>
        <w:spacing w:after="0"/>
        <w:ind w:firstLine="540"/>
        <w:jc w:val="both"/>
        <w:rPr>
          <w:rFonts w:cs="Times New Roman"/>
          <w:szCs w:val="28"/>
        </w:rPr>
      </w:pPr>
      <w:r w:rsidRPr="005104A2">
        <w:rPr>
          <w:rFonts w:cs="Times New Roman"/>
          <w:szCs w:val="28"/>
        </w:rPr>
        <w:t>5</w:t>
      </w:r>
      <w:r w:rsidR="00B07486" w:rsidRPr="005104A2">
        <w:rPr>
          <w:rFonts w:cs="Times New Roman"/>
          <w:szCs w:val="28"/>
        </w:rPr>
        <w:t>. Техническое обслуживание, хозяйственное содержание, капитальный и текущий ремонт зданий и помещений, в которых располагается Совет депутатов округа, осуществляет администрация округа либо муниципальное учреждение, которому данные здания, помещения и иные имущественные объекты переданы в оперативное управление.</w:t>
      </w:r>
    </w:p>
    <w:p w:rsidR="009B087A" w:rsidRPr="005104A2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b/>
          <w:bCs/>
          <w:szCs w:val="28"/>
        </w:rPr>
        <w:t xml:space="preserve">Статья </w:t>
      </w:r>
      <w:r w:rsidR="003A4606">
        <w:rPr>
          <w:rFonts w:cs="Times New Roman"/>
          <w:b/>
          <w:bCs/>
          <w:szCs w:val="28"/>
        </w:rPr>
        <w:t>6</w:t>
      </w:r>
      <w:r w:rsidRPr="002D0B5B">
        <w:rPr>
          <w:rFonts w:cs="Times New Roman"/>
          <w:b/>
          <w:bCs/>
          <w:szCs w:val="28"/>
        </w:rPr>
        <w:t>. Особенности материально-технического и организационного обеспечения деятельности Контрольно-счетной инспекции Бутурлинского муниципального округа Нижегородской области</w:t>
      </w:r>
    </w:p>
    <w:p w:rsidR="009B087A" w:rsidRPr="002D0B5B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lastRenderedPageBreak/>
        <w:t xml:space="preserve">1. Материально-техническое и организационное обеспечение деятельности Контрольно-счетной инспекции Бутурлинского муниципального округа Нижегородской области (далее — Контрольно-счетная инспекция округа) осуществляется в соответствии с </w:t>
      </w:r>
      <w:hyperlink r:id="rId12">
        <w:r w:rsidRPr="002D0B5B">
          <w:rPr>
            <w:rFonts w:cs="Times New Roman"/>
            <w:szCs w:val="28"/>
          </w:rPr>
          <w:t>Уставом</w:t>
        </w:r>
      </w:hyperlink>
      <w:r w:rsidRPr="002D0B5B">
        <w:rPr>
          <w:rFonts w:cs="Times New Roman"/>
          <w:szCs w:val="28"/>
        </w:rPr>
        <w:t xml:space="preserve"> Бутурлинского муниципального округа Нижегородской области, Положением о Контрольно-счетной инспекции  Бутурлинского муниципального округа Нижегородской области и другими муниципальными правовыми актами органов местного самоуправления округа.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2. Контрольно-счетная инспекция самостоятельно осуществляет организационное, информационное, правовое, хозяйственное, материально-техническое обеспечение в соответствии с компетенцией, определенной Уставом округа, приобретает для собственных нужд товары, работы и услуги на основании договоров, заключаемых в установленном порядке.</w:t>
      </w:r>
    </w:p>
    <w:p w:rsidR="009B087A" w:rsidRPr="002D0B5B" w:rsidRDefault="00B07486">
      <w:pPr>
        <w:spacing w:after="0"/>
        <w:ind w:firstLine="567"/>
        <w:jc w:val="both"/>
      </w:pPr>
      <w:r w:rsidRPr="002D0B5B">
        <w:rPr>
          <w:rFonts w:cs="Times New Roman"/>
          <w:szCs w:val="28"/>
        </w:rPr>
        <w:t>3. Делопроизводство и документационное обеспечение, правовое обеспечение, информационное обеспечение, архивное обеспечение в Контрольно-счетной инспекции осуществляет председатель Контрольно-счетной инспекции.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4. Администрация округа предоставляет Контрольно-счетной инспекции в безвозмездное пользование помещения, необходимые ей для исполнения своих функций и полномочий.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5. Техническое обслуживание, хозяйственное содержание, капитальный и текущий ремонт зданий и помещений, в которых располагается Контрольно-счетная инспекция, осуществляет администрация округа либо муниципальное учреждение, которому данные здания, помещения и иные имущественные объекты переданы в оперативное управление.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6. Администрация округа обеспечивает Контрольно-счетную инспекцию: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- услугами связи (телефонная стационарная связь) и доступом к информационным сетям и ресурсам (Интернет, «Консультант»);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- транспортными средствами в служебных целях, в соответствии с нормами списания горюче-смазочных материалов на служебный автотранспорт и лимитами расхода горюче-смазочных материалов, утверждаемыми руководителями органов местного самоуправления округа;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7. Организационное обеспечение, предоставляемое администрацией округа Контрольно-счетной инспекции включает в себя: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- организацию и ведение бухгалтерского учета и отчетности (по соглашению);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- оказание информационных услуг, связанных с размещением в средствах массовой информации документов и иной информации по освещению деятельности Контрольно-счетной инспекции;</w:t>
      </w:r>
    </w:p>
    <w:p w:rsidR="009B087A" w:rsidRPr="002D0B5B" w:rsidRDefault="00B07486">
      <w:pPr>
        <w:spacing w:after="0"/>
        <w:ind w:firstLine="540"/>
        <w:jc w:val="both"/>
      </w:pPr>
      <w:r w:rsidRPr="002D0B5B">
        <w:rPr>
          <w:rFonts w:cs="Times New Roman"/>
          <w:szCs w:val="28"/>
        </w:rPr>
        <w:t>8. Администрация округа определяет уполномоченное должностное лицо по организации и ведению бухгалтерского учета и отчетности Контрольно-счетной инспекции.</w:t>
      </w:r>
    </w:p>
    <w:p w:rsidR="009B087A" w:rsidRDefault="009B087A">
      <w:pPr>
        <w:spacing w:after="0"/>
        <w:ind w:firstLine="540"/>
        <w:jc w:val="both"/>
        <w:rPr>
          <w:color w:val="3465A4"/>
        </w:rPr>
      </w:pPr>
    </w:p>
    <w:p w:rsidR="009B087A" w:rsidRDefault="009F7442">
      <w:pPr>
        <w:spacing w:after="0"/>
        <w:ind w:firstLine="54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Статья 7</w:t>
      </w:r>
      <w:r w:rsidR="00B07486">
        <w:rPr>
          <w:rFonts w:cs="Times New Roman"/>
          <w:b/>
          <w:bCs/>
          <w:szCs w:val="28"/>
        </w:rPr>
        <w:t>. Контроль за расходованием бюджетных средств на материально-техническое и организационное обеспечение деятельности органов местного самоуправления округа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6.1. Органы местного самоуправления округа, их должностные лица несут ответственность в соответствии с законодательством Российской Федерации в пределах их компетенции за нецелевое и неэффективное использование бюджетных средств и имущества, предоставленных (выделенных) на материально-техническое и организационное обеспечение деятельности органов местного самоуправления округа. 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6.2. Глава местного самоуправления округа, администрация округа, муниципальные служащие и работники администрации округа несут ответственность в соответствии с законодательством Российской Федерации в пределах их компетенции за ненадлежащее материально-техническое и организационное обеспечение деятельности органов местного самоуправления. 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6.3. Лица, замещающие муниципальные должности, несут ответственность в соответствии с законодательством Российской Федерации за нецелевое использование имущества, предоставленного для осуществления их полномочий, а также за ущерб, причиненный </w:t>
      </w:r>
      <w:proofErr w:type="spellStart"/>
      <w:r>
        <w:rPr>
          <w:rFonts w:cs="Times New Roman"/>
          <w:szCs w:val="28"/>
        </w:rPr>
        <w:t>Бутурлинскому</w:t>
      </w:r>
      <w:proofErr w:type="spellEnd"/>
      <w:r>
        <w:rPr>
          <w:rFonts w:cs="Times New Roman"/>
          <w:szCs w:val="28"/>
        </w:rPr>
        <w:t xml:space="preserve"> муниципальному округу в результате нецелевого и (или) ненадлежащего использования указанного имущества (его порчи, повреждения, уничтожения или утраты). 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6.4. Контроль за соблюдением настоящего Положения осуществляют в соответствии с законодательством Российской Федерации постоянная комиссия Совета депутатов округа, осуществляющая полномочия в финансово-бюджетной сфере, глава местного самоуправления муниципального округа в пределах их компетенции. 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6.5. Контроль за качеством и количеством (объемом) товаров (работ и услуг), поставляемых (выполняемых, оказываемых) в целях материально-технического и организационного обеспечения деятельности органов местного самоуправления, осуществляется администрацией округа в соответствии с законодательством Российской Федерации в сфере закупок товаров, работ, услуг для обеспечения государственных и муниципальных нужд. </w:t>
      </w:r>
    </w:p>
    <w:p w:rsidR="009B087A" w:rsidRDefault="00B07486">
      <w:pPr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6.6. Контроль за целевым и эффективным использованием бюджетных средств и имущества, выделенных (предоставленных) на материально</w:t>
      </w:r>
      <w:r w:rsidR="00DD1FEB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техническое и организационное обеспечение деятельности органов местного самоуправления округа, осуществляется в соответствии с законодательством Российской Федерации, Нижегородской области, Уставом муниципального округа и иными муниципальными правовыми актами округа, в том числе путем осуществления Советом депутатов округа и администрацией округа внутреннего финансового контроля и внутреннего финансового аудита.</w:t>
      </w: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p w:rsidR="009B087A" w:rsidRDefault="009B087A">
      <w:pPr>
        <w:spacing w:after="0"/>
        <w:ind w:firstLine="540"/>
        <w:jc w:val="both"/>
        <w:rPr>
          <w:rFonts w:cs="Times New Roman"/>
          <w:szCs w:val="28"/>
        </w:rPr>
      </w:pPr>
    </w:p>
    <w:sectPr w:rsidR="009B087A" w:rsidSect="00160C11">
      <w:pgSz w:w="11906" w:h="16838"/>
      <w:pgMar w:top="851" w:right="851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7A"/>
    <w:rsid w:val="00160C11"/>
    <w:rsid w:val="00253107"/>
    <w:rsid w:val="002D0B5B"/>
    <w:rsid w:val="003A4606"/>
    <w:rsid w:val="004E43F6"/>
    <w:rsid w:val="005104A2"/>
    <w:rsid w:val="009B087A"/>
    <w:rsid w:val="009F7442"/>
    <w:rsid w:val="00B07486"/>
    <w:rsid w:val="00D11CF8"/>
    <w:rsid w:val="00DD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7EC3D-0B04-473A-AC45-C8D53EC9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1"/>
    <w:qFormat/>
    <w:rsid w:val="0040546C"/>
    <w:pPr>
      <w:keepNext/>
      <w:spacing w:after="120"/>
      <w:jc w:val="right"/>
      <w:outlineLvl w:val="0"/>
    </w:pPr>
    <w:rPr>
      <w:rFonts w:eastAsia="Times New Roman" w:cs="Times New Roman"/>
      <w:kern w:val="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3B4B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sid w:val="00405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Заголовок 1 Знак1"/>
    <w:link w:val="1"/>
    <w:qFormat/>
    <w:locked/>
    <w:rsid w:val="0040546C"/>
    <w:rPr>
      <w:rFonts w:ascii="Times New Roman" w:eastAsia="Times New Roman" w:hAnsi="Times New Roman" w:cs="Times New Roman"/>
      <w:kern w:val="2"/>
      <w:sz w:val="28"/>
      <w:szCs w:val="28"/>
      <w:lang w:val="x-none" w:eastAsia="x-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353B4B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40546C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8406DBDAD62D9EB4526AC17D437895AA79B6A305CF39EE51B03632CB1ECD901253BBC540A5C4B22340638AA08BFDCA874392DE79EDD6DFB8DC1D9AR4r6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8406DBDAD62D9EB45274CC6B2F2790A971E1AF0ECD33BA0DEC3065944ECBC55213BD9003E1CDB1274A33DAE3D5A499C6089FD962F1D6D8RAr5K" TargetMode="External"/><Relationship Id="rId12" Type="http://schemas.openxmlformats.org/officeDocument/2006/relationships/hyperlink" Target="consultantplus://offline/ref=4C8406DBDAD62D9EB4526AC17D437895AA79B6A305CF39EE51B03632CB1ECD901253BBC552A59CBE2144798BA29EAB9BC1R1r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8406DBDAD62D9EB4526AC17D437895AA79B6A305CF39EE51B03632CB1ECD901253BBC540A5C4B22340638AA08BFDCA874392DE79EDD6DFB8DC1D9AR4r6K" TargetMode="External"/><Relationship Id="rId11" Type="http://schemas.openxmlformats.org/officeDocument/2006/relationships/hyperlink" Target="consultantplus://offline/ref=4C8406DBDAD62D9EB4526AC17D437895AA79B6A305CF39EE51B03632CB1ECD901253BBC552A59CBE2144798BA29EAB9BC1R1r5K" TargetMode="External"/><Relationship Id="rId5" Type="http://schemas.openxmlformats.org/officeDocument/2006/relationships/hyperlink" Target="consultantplus://offline/ref=4C8406DBDAD62D9EB45274CC6B2F2790A971E1AF0ECD33BA0DEC3065944ECBC55213BD9003E1CDB1274A33DAE3D5A499C6089FD962F1D6D8RAr5K" TargetMode="External"/><Relationship Id="rId10" Type="http://schemas.openxmlformats.org/officeDocument/2006/relationships/hyperlink" Target="consultantplus://offline/ref=4C8406DBDAD62D9EB4526AC17D437895AA79B6A305CF39EE51B03632CB1ECD901253BBC552A59CBE2144798BA29EAB9BC1R1r5K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C8406DBDAD62D9EB45274CC6B2F2790A971EAAC04C933BA0DEC3065944ECBC54013E59C01E4D7B3265F658BA5R8r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4327</Words>
  <Characters>24668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Г.Н.</dc:creator>
  <dc:description/>
  <cp:lastModifiedBy>sovet</cp:lastModifiedBy>
  <cp:revision>5</cp:revision>
  <cp:lastPrinted>2023-05-25T12:22:00Z</cp:lastPrinted>
  <dcterms:created xsi:type="dcterms:W3CDTF">2023-10-18T13:21:00Z</dcterms:created>
  <dcterms:modified xsi:type="dcterms:W3CDTF">2023-10-25T08:03:00Z</dcterms:modified>
  <dc:language>ru-RU</dc:language>
</cp:coreProperties>
</file>